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68" w:rsidRPr="002C7A68" w:rsidRDefault="002C7A68" w:rsidP="002C7A68">
      <w:pPr>
        <w:spacing w:before="120" w:after="120"/>
        <w:rPr>
          <w:b/>
          <w:sz w:val="28"/>
          <w:szCs w:val="28"/>
        </w:rPr>
      </w:pPr>
      <w:r w:rsidRPr="002C7A68">
        <w:rPr>
          <w:b/>
          <w:i/>
          <w:color w:val="0070C0"/>
          <w:sz w:val="28"/>
          <w:szCs w:val="28"/>
        </w:rPr>
        <w:ptab w:relativeTo="margin" w:alignment="center" w:leader="none"/>
      </w:r>
      <w:r w:rsidRPr="002C7A68">
        <w:rPr>
          <w:b/>
          <w:i/>
          <w:color w:val="0070C0"/>
          <w:sz w:val="28"/>
          <w:szCs w:val="28"/>
        </w:rPr>
        <w:t>Программа «Баланс-2</w:t>
      </w:r>
      <w:r w:rsidRPr="002C7A68">
        <w:rPr>
          <w:b/>
          <w:i/>
          <w:color w:val="0070C0"/>
          <w:sz w:val="28"/>
          <w:szCs w:val="28"/>
          <w:lang w:val="en-US"/>
        </w:rPr>
        <w:t>W</w:t>
      </w:r>
      <w:r w:rsidRPr="002C7A68">
        <w:rPr>
          <w:b/>
          <w:i/>
          <w:color w:val="0070C0"/>
          <w:sz w:val="28"/>
          <w:szCs w:val="28"/>
        </w:rPr>
        <w:t>»</w:t>
      </w:r>
    </w:p>
    <w:p w:rsidR="002C7A68" w:rsidRDefault="00E45C69" w:rsidP="00C83128">
      <w:pPr>
        <w:spacing w:before="120" w:after="120"/>
        <w:jc w:val="center"/>
        <w:rPr>
          <w:b/>
          <w:sz w:val="28"/>
          <w:szCs w:val="28"/>
        </w:rPr>
      </w:pPr>
      <w:r w:rsidRPr="00E45C69">
        <w:rPr>
          <w:b/>
          <w:sz w:val="28"/>
          <w:szCs w:val="28"/>
        </w:rPr>
        <w:t>Руководство</w:t>
      </w:r>
    </w:p>
    <w:p w:rsidR="00690E55" w:rsidRPr="00E45C69" w:rsidRDefault="00E45C69" w:rsidP="00C83128">
      <w:pPr>
        <w:spacing w:before="120" w:after="120"/>
        <w:jc w:val="center"/>
        <w:rPr>
          <w:b/>
          <w:sz w:val="28"/>
          <w:szCs w:val="28"/>
        </w:rPr>
      </w:pPr>
      <w:r w:rsidRPr="00E45C69">
        <w:rPr>
          <w:b/>
          <w:sz w:val="28"/>
          <w:szCs w:val="28"/>
        </w:rPr>
        <w:t xml:space="preserve">по </w:t>
      </w:r>
      <w:r w:rsidR="002C7A68">
        <w:rPr>
          <w:b/>
          <w:sz w:val="28"/>
          <w:szCs w:val="28"/>
        </w:rPr>
        <w:t xml:space="preserve">работе с </w:t>
      </w:r>
      <w:r w:rsidRPr="00E45C69">
        <w:rPr>
          <w:b/>
          <w:sz w:val="28"/>
          <w:szCs w:val="28"/>
        </w:rPr>
        <w:t>Карточк</w:t>
      </w:r>
      <w:r w:rsidR="002C7A68">
        <w:rPr>
          <w:b/>
          <w:sz w:val="28"/>
          <w:szCs w:val="28"/>
        </w:rPr>
        <w:t>ой</w:t>
      </w:r>
      <w:r w:rsidRPr="00E45C69">
        <w:rPr>
          <w:b/>
          <w:sz w:val="28"/>
          <w:szCs w:val="28"/>
        </w:rPr>
        <w:t xml:space="preserve"> расчетов с ПФР</w:t>
      </w:r>
    </w:p>
    <w:p w:rsidR="00E45C69" w:rsidRDefault="00E45C69" w:rsidP="00C83128">
      <w:pPr>
        <w:spacing w:before="120" w:after="120"/>
      </w:pPr>
    </w:p>
    <w:p w:rsidR="00E45C69" w:rsidRPr="00DC3423" w:rsidRDefault="00E45C69" w:rsidP="00C83128">
      <w:pPr>
        <w:spacing w:before="120" w:after="120"/>
        <w:rPr>
          <w:b/>
          <w:i/>
        </w:rPr>
      </w:pPr>
      <w:r w:rsidRPr="00DC3423">
        <w:rPr>
          <w:b/>
          <w:i/>
        </w:rPr>
        <w:t>Назначение</w:t>
      </w:r>
    </w:p>
    <w:p w:rsidR="00E45C69" w:rsidRDefault="00E45C69" w:rsidP="00C83128">
      <w:pPr>
        <w:spacing w:before="120" w:after="120"/>
      </w:pPr>
    </w:p>
    <w:p w:rsidR="00E45C69" w:rsidRDefault="00E45C69" w:rsidP="002C7A68">
      <w:pPr>
        <w:spacing w:before="120" w:after="120"/>
        <w:ind w:firstLine="567"/>
        <w:jc w:val="both"/>
      </w:pPr>
      <w:r>
        <w:t xml:space="preserve">Возможность ведения Карточек расчетов с ПФР по сотрудникам предназначена для </w:t>
      </w:r>
      <w:r w:rsidR="00E8367F">
        <w:t>подготовки к сверке</w:t>
      </w:r>
      <w:r>
        <w:t xml:space="preserve"> расчетов по начисленным и уплаченным страховым взносам с Пенсионным фондом</w:t>
      </w:r>
      <w:r w:rsidR="00E8367F">
        <w:t xml:space="preserve"> РФ</w:t>
      </w:r>
      <w:r>
        <w:t xml:space="preserve">. </w:t>
      </w:r>
      <w:r w:rsidR="00E8367F">
        <w:t>Данная разработка позволяет пользователями контролировать сальдо начислений и уплат страховых взносов на обязательное пенсионное страхование по каждому сотруднику. В виду того, что по каждому сотруднику</w:t>
      </w:r>
      <w:r w:rsidR="00A730C2">
        <w:t xml:space="preserve"> работодателю предпочтительно не иметь переплат или недоимок, Карточка расчетов помогает рационально распределить уплату страховых взносов по сотрудникам </w:t>
      </w:r>
      <w:r w:rsidR="001C60A9">
        <w:t>в текущем отчетном периоде с учетом текущего сальдо расчетов.</w:t>
      </w:r>
    </w:p>
    <w:p w:rsidR="00DC3423" w:rsidRDefault="00DC3423" w:rsidP="00C83128">
      <w:pPr>
        <w:spacing w:before="120" w:after="120"/>
      </w:pPr>
    </w:p>
    <w:p w:rsidR="00DC3423" w:rsidRPr="00DC3423" w:rsidRDefault="00DC3423" w:rsidP="00C83128">
      <w:pPr>
        <w:spacing w:before="120" w:after="120"/>
        <w:rPr>
          <w:b/>
          <w:i/>
        </w:rPr>
      </w:pPr>
      <w:r w:rsidRPr="00DC3423">
        <w:rPr>
          <w:b/>
          <w:i/>
        </w:rPr>
        <w:t>Применение</w:t>
      </w:r>
    </w:p>
    <w:p w:rsidR="00DC3423" w:rsidRDefault="00DC3423" w:rsidP="00C83128">
      <w:pPr>
        <w:spacing w:before="120" w:after="120"/>
      </w:pPr>
    </w:p>
    <w:p w:rsidR="00DC3423" w:rsidRDefault="00DC3423" w:rsidP="002C7A68">
      <w:pPr>
        <w:spacing w:before="120" w:after="120"/>
        <w:ind w:firstLine="567"/>
        <w:jc w:val="both"/>
      </w:pPr>
      <w:r>
        <w:t>Доступ к Карточке осуществляется из списка сотрудников в пакете индивидуальных сведений (рис. 1)</w:t>
      </w:r>
    </w:p>
    <w:p w:rsidR="00DC3423" w:rsidRDefault="00DC3423" w:rsidP="00C83128">
      <w:pPr>
        <w:spacing w:before="120" w:after="120"/>
      </w:pPr>
    </w:p>
    <w:p w:rsidR="00DC3423" w:rsidRDefault="00DC3423" w:rsidP="00C83128">
      <w:pPr>
        <w:spacing w:before="120" w:after="120"/>
      </w:pPr>
      <w:r>
        <w:rPr>
          <w:noProof/>
        </w:rPr>
        <w:drawing>
          <wp:inline distT="0" distB="0" distL="0" distR="0">
            <wp:extent cx="5940425" cy="2543175"/>
            <wp:effectExtent l="19050" t="0" r="3175" b="0"/>
            <wp:docPr id="1" name="Рисунок 0" descr="Clipboard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423" w:rsidRDefault="00DC3423" w:rsidP="00C83128">
      <w:pPr>
        <w:spacing w:before="120" w:after="120"/>
      </w:pPr>
    </w:p>
    <w:p w:rsidR="00DC3423" w:rsidRDefault="00DC3423" w:rsidP="00C83128">
      <w:pPr>
        <w:tabs>
          <w:tab w:val="left" w:pos="3029"/>
        </w:tabs>
        <w:spacing w:before="120" w:after="120"/>
        <w:jc w:val="center"/>
        <w:rPr>
          <w:i/>
        </w:rPr>
      </w:pPr>
      <w:r w:rsidRPr="00DC3423">
        <w:rPr>
          <w:i/>
        </w:rPr>
        <w:t xml:space="preserve">Рис. 1. Доступ к Карточке расчетов </w:t>
      </w:r>
      <w:bookmarkStart w:id="0" w:name="_GoBack"/>
      <w:bookmarkEnd w:id="0"/>
      <w:r w:rsidRPr="00DC3423">
        <w:rPr>
          <w:i/>
        </w:rPr>
        <w:t>с ПФР из пакета индивидуальных сведений</w:t>
      </w:r>
    </w:p>
    <w:p w:rsidR="00DC3423" w:rsidRDefault="00DC3423" w:rsidP="00C83128">
      <w:pPr>
        <w:tabs>
          <w:tab w:val="left" w:pos="3029"/>
        </w:tabs>
        <w:spacing w:before="120" w:after="120"/>
        <w:jc w:val="center"/>
        <w:rPr>
          <w:i/>
        </w:rPr>
      </w:pPr>
    </w:p>
    <w:p w:rsidR="00DC3423" w:rsidRDefault="00DC3423" w:rsidP="002C7A68">
      <w:pPr>
        <w:spacing w:before="120" w:after="120"/>
        <w:ind w:firstLine="567"/>
        <w:jc w:val="both"/>
      </w:pPr>
      <w:r>
        <w:t>Кроме того, вызывать Карточку можно из списка сотрудников в справочнике сотрудников организации (рис. 2).</w:t>
      </w:r>
    </w:p>
    <w:p w:rsidR="00DC3423" w:rsidRDefault="00DC3423" w:rsidP="00C83128">
      <w:pPr>
        <w:tabs>
          <w:tab w:val="left" w:pos="3029"/>
        </w:tabs>
        <w:spacing w:before="120" w:after="120"/>
        <w:jc w:val="both"/>
      </w:pPr>
    </w:p>
    <w:p w:rsidR="002E5A56" w:rsidRDefault="002E5A56" w:rsidP="00C83128">
      <w:pPr>
        <w:tabs>
          <w:tab w:val="left" w:pos="3029"/>
        </w:tabs>
        <w:spacing w:before="120" w:after="120"/>
        <w:jc w:val="both"/>
      </w:pPr>
      <w:r>
        <w:rPr>
          <w:noProof/>
        </w:rPr>
        <w:lastRenderedPageBreak/>
        <w:drawing>
          <wp:inline distT="0" distB="0" distL="0" distR="0">
            <wp:extent cx="5940425" cy="5001260"/>
            <wp:effectExtent l="19050" t="0" r="3175" b="0"/>
            <wp:docPr id="2" name="Рисунок 1" descr="Clipboard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A56" w:rsidRDefault="002E5A56" w:rsidP="00C83128">
      <w:pPr>
        <w:spacing w:before="120" w:after="120"/>
      </w:pPr>
    </w:p>
    <w:p w:rsidR="00DC3423" w:rsidRDefault="002E5A56" w:rsidP="00326758">
      <w:pPr>
        <w:tabs>
          <w:tab w:val="left" w:pos="1861"/>
        </w:tabs>
        <w:spacing w:before="120" w:after="120"/>
        <w:jc w:val="center"/>
        <w:rPr>
          <w:i/>
        </w:rPr>
      </w:pPr>
      <w:r w:rsidRPr="002E5A56">
        <w:rPr>
          <w:i/>
        </w:rPr>
        <w:t>Рис. 2. Доступ к Карточке расчетов с ПФР из справочника сотрудников организации</w:t>
      </w:r>
    </w:p>
    <w:p w:rsidR="002E5A56" w:rsidRDefault="002E5A56" w:rsidP="00C83128">
      <w:pPr>
        <w:tabs>
          <w:tab w:val="left" w:pos="1861"/>
        </w:tabs>
        <w:spacing w:before="120" w:after="120"/>
        <w:jc w:val="center"/>
        <w:rPr>
          <w:i/>
        </w:rPr>
      </w:pPr>
    </w:p>
    <w:p w:rsidR="002E5A56" w:rsidRDefault="007B5B45" w:rsidP="002C7A68">
      <w:pPr>
        <w:spacing w:before="120" w:after="120"/>
        <w:ind w:firstLine="567"/>
        <w:jc w:val="both"/>
      </w:pPr>
      <w:r>
        <w:t xml:space="preserve">Ведение Карточки осуществляется на основе сведений персонифицированного учета, введенных пользователем за периоды, начиная с 1 полугодия 2010 года по текущий период. </w:t>
      </w:r>
    </w:p>
    <w:p w:rsidR="007B5B45" w:rsidRDefault="007B5B45" w:rsidP="002C7A68">
      <w:pPr>
        <w:spacing w:before="120" w:after="120"/>
        <w:ind w:firstLine="567"/>
        <w:jc w:val="both"/>
      </w:pPr>
      <w:r>
        <w:t xml:space="preserve">Функционал Карточки расчетов с ПФР аналогичен функционалу </w:t>
      </w:r>
      <w:hyperlink r:id="rId10" w:history="1">
        <w:r w:rsidRPr="007B5B45">
          <w:rPr>
            <w:rStyle w:val="af3"/>
          </w:rPr>
          <w:t>программ</w:t>
        </w:r>
      </w:hyperlink>
      <w:r>
        <w:t xml:space="preserve"> «</w:t>
      </w:r>
      <w:proofErr w:type="spellStart"/>
      <w:r w:rsidRPr="007B5B45">
        <w:t>VL:СверкаПФ</w:t>
      </w:r>
      <w:proofErr w:type="spellEnd"/>
      <w:proofErr w:type="gramStart"/>
      <w:r w:rsidRPr="007B5B45">
        <w:t>:</w:t>
      </w:r>
      <w:r>
        <w:t>»</w:t>
      </w:r>
      <w:proofErr w:type="gramEnd"/>
      <w:r>
        <w:t xml:space="preserve"> и «</w:t>
      </w:r>
      <w:proofErr w:type="spellStart"/>
      <w:r w:rsidRPr="007B5B45">
        <w:t>VL:СверкаПТК</w:t>
      </w:r>
      <w:proofErr w:type="spellEnd"/>
      <w:proofErr w:type="gramStart"/>
      <w:r w:rsidRPr="007B5B45">
        <w:t>:</w:t>
      </w:r>
      <w:r>
        <w:t>»</w:t>
      </w:r>
      <w:proofErr w:type="gramEnd"/>
      <w:r>
        <w:t>, однако</w:t>
      </w:r>
      <w:r w:rsidR="00FD3F38">
        <w:t xml:space="preserve">, не полностью повторяет его. </w:t>
      </w:r>
      <w:r w:rsidR="00A93B27">
        <w:t>Данные программы написаны для Пенсионного фонда и осуществляют сверку по данным из файлов страхователя. Карточка расчетов с ПФР в «</w:t>
      </w:r>
      <w:hyperlink r:id="rId11" w:history="1">
        <w:r w:rsidR="00A93B27" w:rsidRPr="00A93B27">
          <w:rPr>
            <w:rStyle w:val="af3"/>
          </w:rPr>
          <w:t>Баланс-2</w:t>
        </w:r>
        <w:r w:rsidR="00A93B27" w:rsidRPr="00A93B27">
          <w:rPr>
            <w:rStyle w:val="af3"/>
            <w:lang w:val="en-US"/>
          </w:rPr>
          <w:t>W</w:t>
        </w:r>
      </w:hyperlink>
      <w:r w:rsidR="00A93B27">
        <w:t>» работает на основе сведений по персонифицированному учету, хранящихся в базе данных «Баланс-2</w:t>
      </w:r>
      <w:r w:rsidR="00A93B27">
        <w:rPr>
          <w:lang w:val="en-US"/>
        </w:rPr>
        <w:t>W</w:t>
      </w:r>
      <w:r w:rsidR="00A93B27">
        <w:t xml:space="preserve">». </w:t>
      </w:r>
    </w:p>
    <w:p w:rsidR="00150E49" w:rsidRDefault="00150E49" w:rsidP="002C7A68">
      <w:pPr>
        <w:spacing w:before="120" w:after="120"/>
        <w:ind w:firstLine="567"/>
        <w:jc w:val="both"/>
      </w:pPr>
      <w:r>
        <w:t>Преимуществом Карточки расчетов с ПФР является то, что она объединяет возможности двух указанных программ, а именно, позволяет отслеживать сальдо начислений и уплат как при наличии в базе данных сведений по всем необходимым периодам, так и при отсутствии. В свою очередь, программа «</w:t>
      </w:r>
      <w:proofErr w:type="spellStart"/>
      <w:r w:rsidRPr="007B5B45">
        <w:t>VL:СверкаПФ</w:t>
      </w:r>
      <w:proofErr w:type="spellEnd"/>
      <w:proofErr w:type="gramStart"/>
      <w:r w:rsidRPr="007B5B45">
        <w:t>:</w:t>
      </w:r>
      <w:r>
        <w:t>»</w:t>
      </w:r>
      <w:proofErr w:type="gramEnd"/>
      <w:r w:rsidR="00C2334E">
        <w:t xml:space="preserve"> требует наличия файлов со всеми исходными, корректирующими и отменяющими сведениями за все периоды, начиная с 1 полугодия 2010 года. А программа «</w:t>
      </w:r>
      <w:proofErr w:type="spellStart"/>
      <w:r w:rsidR="00C2334E" w:rsidRPr="00C2334E">
        <w:t>VL:СверкаПТК</w:t>
      </w:r>
      <w:proofErr w:type="spellEnd"/>
      <w:proofErr w:type="gramStart"/>
      <w:r w:rsidR="00C2334E" w:rsidRPr="00C2334E">
        <w:t>:</w:t>
      </w:r>
      <w:r w:rsidR="00C2334E">
        <w:t>»</w:t>
      </w:r>
      <w:proofErr w:type="gramEnd"/>
      <w:r w:rsidR="00C2334E">
        <w:t xml:space="preserve"> работает, когда данные за ряд периодов недоступны, однако для ее работы необходим </w:t>
      </w:r>
      <w:r w:rsidR="00C2334E">
        <w:rPr>
          <w:lang w:val="en-US"/>
        </w:rPr>
        <w:t>excel</w:t>
      </w:r>
      <w:r w:rsidR="00C2334E" w:rsidRPr="00C2334E">
        <w:t>-</w:t>
      </w:r>
      <w:r w:rsidR="00C2334E">
        <w:t>файл с результатами запроса из ПФР. В Карточку расчетов с ПФР в «Баланс-2</w:t>
      </w:r>
      <w:r w:rsidR="00C2334E">
        <w:rPr>
          <w:lang w:val="en-US"/>
        </w:rPr>
        <w:t>W</w:t>
      </w:r>
      <w:r w:rsidR="00C2334E">
        <w:t>» пользователь может внести недостающие данные вручную, а программа вычислит сальдо.</w:t>
      </w:r>
    </w:p>
    <w:p w:rsidR="001F0804" w:rsidRPr="001C28A7" w:rsidRDefault="001F0804" w:rsidP="002C7A68">
      <w:pPr>
        <w:spacing w:before="120" w:after="120"/>
        <w:ind w:firstLine="567"/>
        <w:jc w:val="both"/>
      </w:pPr>
      <w:r>
        <w:lastRenderedPageBreak/>
        <w:t xml:space="preserve">Карточка расчетов с ПФР по сотруднику </w:t>
      </w:r>
      <w:r w:rsidR="005318CF">
        <w:t xml:space="preserve"> (рис. 3) </w:t>
      </w:r>
      <w:r>
        <w:t>содержит данные по начисленным и уплаченным суммам страховых взносов</w:t>
      </w:r>
      <w:r w:rsidR="00755E7B">
        <w:t xml:space="preserve">, сальдо начислений и уплат в каждом отчетном периоде, а также нарастающим итогом. Суммы взносов отражаются с разбиением на страховую и накопительную части. </w:t>
      </w:r>
      <w:r w:rsidR="001C28A7">
        <w:t xml:space="preserve">Для удобства пользователей </w:t>
      </w:r>
      <w:r w:rsidR="00221685">
        <w:t xml:space="preserve">ячейки, относящиеся к разным расчетным периодам (годам), </w:t>
      </w:r>
      <w:r w:rsidR="001C28A7">
        <w:t xml:space="preserve">отмечены голубым </w:t>
      </w:r>
      <w:r w:rsidR="00221685">
        <w:t xml:space="preserve">и белым </w:t>
      </w:r>
      <w:r w:rsidR="001C28A7">
        <w:t>цветом.</w:t>
      </w:r>
    </w:p>
    <w:p w:rsidR="005318CF" w:rsidRDefault="005318CF" w:rsidP="00C83128">
      <w:pPr>
        <w:tabs>
          <w:tab w:val="left" w:pos="1861"/>
        </w:tabs>
        <w:spacing w:before="120" w:after="120"/>
        <w:jc w:val="both"/>
      </w:pPr>
    </w:p>
    <w:p w:rsidR="005318CF" w:rsidRDefault="005318CF" w:rsidP="00C83128">
      <w:pPr>
        <w:tabs>
          <w:tab w:val="left" w:pos="1861"/>
        </w:tabs>
        <w:spacing w:before="120" w:after="120"/>
        <w:jc w:val="both"/>
      </w:pPr>
      <w:r>
        <w:rPr>
          <w:noProof/>
        </w:rPr>
        <w:drawing>
          <wp:inline distT="0" distB="0" distL="0" distR="0">
            <wp:extent cx="5940425" cy="3088005"/>
            <wp:effectExtent l="19050" t="0" r="3175" b="0"/>
            <wp:docPr id="3" name="Рисунок 2" descr="Clipboard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8CF" w:rsidRPr="005318CF" w:rsidRDefault="005318CF" w:rsidP="00326758">
      <w:pPr>
        <w:tabs>
          <w:tab w:val="left" w:pos="3029"/>
        </w:tabs>
        <w:jc w:val="center"/>
        <w:rPr>
          <w:i/>
        </w:rPr>
      </w:pPr>
      <w:r w:rsidRPr="005318CF">
        <w:rPr>
          <w:i/>
        </w:rPr>
        <w:t>Рис. 3. Карточка расчетов с ПФР</w:t>
      </w:r>
    </w:p>
    <w:p w:rsidR="005318CF" w:rsidRDefault="005318CF" w:rsidP="005318CF">
      <w:pPr>
        <w:tabs>
          <w:tab w:val="left" w:pos="3029"/>
        </w:tabs>
      </w:pPr>
    </w:p>
    <w:p w:rsidR="005318CF" w:rsidRDefault="0038787E" w:rsidP="002C7A68">
      <w:pPr>
        <w:spacing w:before="120" w:after="120"/>
        <w:ind w:firstLine="567"/>
        <w:jc w:val="both"/>
      </w:pPr>
      <w:r>
        <w:t xml:space="preserve">Пользователь может выбрать, документы с каким статусом </w:t>
      </w:r>
      <w:r w:rsidR="00C8399E">
        <w:t>в программе «Баланс-2</w:t>
      </w:r>
      <w:r w:rsidR="00C8399E">
        <w:rPr>
          <w:lang w:val="en-US"/>
        </w:rPr>
        <w:t>W</w:t>
      </w:r>
      <w:r w:rsidR="00C8399E">
        <w:t xml:space="preserve">» </w:t>
      </w:r>
      <w:r>
        <w:t>учитывать при расчете: «в работе», «готовые к сдаче», «сданные» (рис. 4).</w:t>
      </w:r>
      <w:r w:rsidR="00C8399E">
        <w:t xml:space="preserve"> </w:t>
      </w:r>
    </w:p>
    <w:p w:rsidR="00C8399E" w:rsidRDefault="00C8399E" w:rsidP="005318CF">
      <w:pPr>
        <w:tabs>
          <w:tab w:val="left" w:pos="3029"/>
        </w:tabs>
      </w:pPr>
    </w:p>
    <w:p w:rsidR="00C8399E" w:rsidRDefault="00D67EB6" w:rsidP="005318CF">
      <w:pPr>
        <w:tabs>
          <w:tab w:val="left" w:pos="3029"/>
        </w:tabs>
      </w:pPr>
      <w:r>
        <w:rPr>
          <w:noProof/>
        </w:rPr>
        <w:drawing>
          <wp:inline distT="0" distB="0" distL="0" distR="0">
            <wp:extent cx="5940425" cy="3088005"/>
            <wp:effectExtent l="19050" t="0" r="3175" b="0"/>
            <wp:docPr id="4" name="Рисунок 3" descr="Clipboard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99E" w:rsidRDefault="00C8399E" w:rsidP="005318CF">
      <w:pPr>
        <w:tabs>
          <w:tab w:val="left" w:pos="3029"/>
        </w:tabs>
      </w:pPr>
    </w:p>
    <w:p w:rsidR="00D67EB6" w:rsidRDefault="00D67EB6" w:rsidP="00D67EB6">
      <w:pPr>
        <w:tabs>
          <w:tab w:val="left" w:pos="3029"/>
        </w:tabs>
        <w:jc w:val="center"/>
        <w:rPr>
          <w:i/>
        </w:rPr>
      </w:pPr>
      <w:r w:rsidRPr="00D67EB6">
        <w:rPr>
          <w:i/>
        </w:rPr>
        <w:t>Рис. 4. Выбор статуса учитываемых при расчете документов</w:t>
      </w:r>
    </w:p>
    <w:p w:rsidR="00D67EB6" w:rsidRDefault="00D67EB6" w:rsidP="00D67EB6">
      <w:pPr>
        <w:tabs>
          <w:tab w:val="left" w:pos="3029"/>
        </w:tabs>
        <w:jc w:val="center"/>
        <w:rPr>
          <w:i/>
        </w:rPr>
      </w:pPr>
    </w:p>
    <w:p w:rsidR="00D67EB6" w:rsidRDefault="007C3F00" w:rsidP="002C7A68">
      <w:pPr>
        <w:spacing w:before="120" w:after="120"/>
        <w:ind w:firstLine="567"/>
        <w:jc w:val="both"/>
      </w:pPr>
      <w:r>
        <w:lastRenderedPageBreak/>
        <w:t>В расчетах по умолчанию учитываются сведения о начисленных и уплаченных взносах, введенные в текущем периоде</w:t>
      </w:r>
      <w:r w:rsidR="00655B69">
        <w:t xml:space="preserve">. Эту опцию можно отключить, поставив галочку на «Не учитывать текущий документ» (рис. 5). </w:t>
      </w:r>
    </w:p>
    <w:p w:rsidR="001D7A5F" w:rsidRDefault="001D7A5F" w:rsidP="00D67EB6">
      <w:pPr>
        <w:tabs>
          <w:tab w:val="left" w:pos="3029"/>
        </w:tabs>
        <w:jc w:val="both"/>
      </w:pPr>
      <w:r>
        <w:rPr>
          <w:noProof/>
        </w:rPr>
        <w:drawing>
          <wp:inline distT="0" distB="0" distL="0" distR="0">
            <wp:extent cx="5940425" cy="3101975"/>
            <wp:effectExtent l="19050" t="0" r="3175" b="0"/>
            <wp:docPr id="6" name="Рисунок 5" descr="Clipboard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A5F" w:rsidRDefault="001D7A5F" w:rsidP="001D7A5F"/>
    <w:p w:rsidR="001D7A5F" w:rsidRDefault="001D7A5F" w:rsidP="00326758">
      <w:pPr>
        <w:tabs>
          <w:tab w:val="left" w:pos="1399"/>
        </w:tabs>
        <w:jc w:val="center"/>
        <w:rPr>
          <w:i/>
        </w:rPr>
      </w:pPr>
      <w:r w:rsidRPr="001D7A5F">
        <w:rPr>
          <w:i/>
        </w:rPr>
        <w:t>Рис. 5. Возможность не включать в расчет данные текущего документа</w:t>
      </w:r>
    </w:p>
    <w:p w:rsidR="001D7A5F" w:rsidRDefault="001D7A5F" w:rsidP="001D7A5F">
      <w:pPr>
        <w:tabs>
          <w:tab w:val="left" w:pos="1399"/>
        </w:tabs>
        <w:rPr>
          <w:i/>
        </w:rPr>
      </w:pPr>
    </w:p>
    <w:p w:rsidR="001D7A5F" w:rsidRDefault="00BB1DC3" w:rsidP="002C7A68">
      <w:pPr>
        <w:spacing w:before="120" w:after="120"/>
        <w:ind w:firstLine="567"/>
        <w:jc w:val="both"/>
      </w:pPr>
      <w:r>
        <w:t>В программе предусмотрена возможность ручного ввода в Карточку сумм начислений и уплат. Для того чтобы ввести данные вручную, необходимо</w:t>
      </w:r>
      <w:r w:rsidR="00C225A8">
        <w:t xml:space="preserve"> дважды щелкнуть мышью на нужной ячейке. Появится окно «Расчет значения из карточки», в котором</w:t>
      </w:r>
      <w:r w:rsidR="00F520ED">
        <w:t xml:space="preserve"> нужно выбрать «</w:t>
      </w:r>
      <w:r w:rsidR="00B51B66">
        <w:t>Значение задается вручную» и ввести требуемую сумму</w:t>
      </w:r>
      <w:r w:rsidR="00221685">
        <w:t xml:space="preserve"> страховых взносов</w:t>
      </w:r>
      <w:r w:rsidR="00B51B66">
        <w:t xml:space="preserve"> (рис. 6).</w:t>
      </w:r>
    </w:p>
    <w:p w:rsidR="00B51B66" w:rsidRDefault="00B51B66" w:rsidP="001D7A5F">
      <w:pPr>
        <w:tabs>
          <w:tab w:val="left" w:pos="1399"/>
        </w:tabs>
        <w:jc w:val="both"/>
      </w:pPr>
    </w:p>
    <w:p w:rsidR="00B51B66" w:rsidRDefault="00B51B66" w:rsidP="00B51B66">
      <w:pPr>
        <w:tabs>
          <w:tab w:val="left" w:pos="1399"/>
        </w:tabs>
        <w:jc w:val="center"/>
      </w:pPr>
      <w:r>
        <w:rPr>
          <w:noProof/>
        </w:rPr>
        <w:drawing>
          <wp:inline distT="0" distB="0" distL="0" distR="0">
            <wp:extent cx="3545457" cy="2137702"/>
            <wp:effectExtent l="19050" t="0" r="0" b="0"/>
            <wp:docPr id="7" name="Рисунок 6" descr="Clipboard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163" cy="213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B66" w:rsidRDefault="00B51B66" w:rsidP="00B51B66">
      <w:pPr>
        <w:tabs>
          <w:tab w:val="left" w:pos="1399"/>
        </w:tabs>
        <w:jc w:val="center"/>
      </w:pPr>
    </w:p>
    <w:p w:rsidR="00B51B66" w:rsidRPr="00B51B66" w:rsidRDefault="00B51B66" w:rsidP="00326758">
      <w:pPr>
        <w:tabs>
          <w:tab w:val="left" w:pos="1399"/>
        </w:tabs>
        <w:rPr>
          <w:i/>
        </w:rPr>
      </w:pPr>
      <w:r w:rsidRPr="00B51B66">
        <w:rPr>
          <w:i/>
        </w:rPr>
        <w:t>Рис. 6. Окно «Расчет значения из карточки»</w:t>
      </w:r>
    </w:p>
    <w:p w:rsidR="00B51B66" w:rsidRDefault="00B51B66" w:rsidP="00B51B66">
      <w:pPr>
        <w:tabs>
          <w:tab w:val="left" w:pos="1399"/>
        </w:tabs>
        <w:jc w:val="center"/>
      </w:pPr>
    </w:p>
    <w:p w:rsidR="00B51B66" w:rsidRDefault="00E81CB0" w:rsidP="002C7A68">
      <w:pPr>
        <w:spacing w:before="120" w:after="120"/>
        <w:ind w:firstLine="567"/>
        <w:jc w:val="both"/>
      </w:pPr>
      <w:r>
        <w:t>Ячейки, заполненные пользователем вручную, станут желтого цвета. Существует возможность сброса всех введенных пользователем вручную данных. Для этого необходимо нажать на клавишу «Сбросить ручной расчет» (рис. 7)</w:t>
      </w:r>
      <w:r w:rsidR="0048390D">
        <w:t>. Карточка при этом будет пересчитана с использованием</w:t>
      </w:r>
      <w:r w:rsidR="00DF1CFC">
        <w:t xml:space="preserve"> сведений персонифицированного учета, хранящихся в базе данных программы.</w:t>
      </w:r>
    </w:p>
    <w:p w:rsidR="00E81CB0" w:rsidRDefault="00E81CB0" w:rsidP="00B51B66">
      <w:pPr>
        <w:tabs>
          <w:tab w:val="left" w:pos="1399"/>
        </w:tabs>
        <w:jc w:val="both"/>
      </w:pPr>
    </w:p>
    <w:p w:rsidR="00E81CB0" w:rsidRDefault="0048390D" w:rsidP="00B51B66">
      <w:pPr>
        <w:tabs>
          <w:tab w:val="left" w:pos="1399"/>
        </w:tabs>
        <w:jc w:val="both"/>
      </w:pPr>
      <w:r>
        <w:rPr>
          <w:noProof/>
        </w:rPr>
        <w:drawing>
          <wp:inline distT="0" distB="0" distL="0" distR="0">
            <wp:extent cx="5940425" cy="3092450"/>
            <wp:effectExtent l="19050" t="0" r="3175" b="0"/>
            <wp:docPr id="9" name="Рисунок 8" descr="Clipboard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CB0" w:rsidRDefault="00E81CB0" w:rsidP="00E81CB0"/>
    <w:p w:rsidR="00E81CB0" w:rsidRPr="001A4FCC" w:rsidRDefault="00E81CB0" w:rsidP="001A4FCC">
      <w:pPr>
        <w:tabs>
          <w:tab w:val="left" w:pos="2975"/>
        </w:tabs>
        <w:jc w:val="center"/>
        <w:rPr>
          <w:i/>
        </w:rPr>
      </w:pPr>
      <w:r w:rsidRPr="001A4FCC">
        <w:rPr>
          <w:i/>
        </w:rPr>
        <w:t xml:space="preserve">Рис. 7. </w:t>
      </w:r>
      <w:r w:rsidR="0048390D" w:rsidRPr="001A4FCC">
        <w:rPr>
          <w:i/>
        </w:rPr>
        <w:t>Сброс всех данных, введенных вручную</w:t>
      </w:r>
    </w:p>
    <w:sectPr w:rsidR="00E81CB0" w:rsidRPr="001A4FCC" w:rsidSect="00690E55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68" w:rsidRDefault="002C7A68" w:rsidP="002C7A68">
      <w:r>
        <w:separator/>
      </w:r>
    </w:p>
  </w:endnote>
  <w:endnote w:type="continuationSeparator" w:id="0">
    <w:p w:rsidR="002C7A68" w:rsidRDefault="002C7A68" w:rsidP="002C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925712"/>
      <w:docPartObj>
        <w:docPartGallery w:val="Page Numbers (Bottom of Page)"/>
        <w:docPartUnique/>
      </w:docPartObj>
    </w:sdtPr>
    <w:sdtContent>
      <w:p w:rsidR="00326758" w:rsidRDefault="0032675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26758" w:rsidRDefault="0032675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68" w:rsidRDefault="002C7A68" w:rsidP="002C7A68">
      <w:r>
        <w:separator/>
      </w:r>
    </w:p>
  </w:footnote>
  <w:footnote w:type="continuationSeparator" w:id="0">
    <w:p w:rsidR="002C7A68" w:rsidRDefault="002C7A68" w:rsidP="002C7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68" w:rsidRDefault="002C7A68">
    <w:pPr>
      <w:pStyle w:val="af5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5089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ADB4877C"/>
    <w:lvl w:ilvl="0">
      <w:start w:val="1"/>
      <w:numFmt w:val="decimal"/>
      <w:pStyle w:val="a"/>
      <w:lvlText w:val="%1."/>
      <w:lvlJc w:val="left"/>
      <w:pPr>
        <w:tabs>
          <w:tab w:val="num" w:pos="568"/>
        </w:tabs>
        <w:ind w:left="568" w:firstLine="0"/>
      </w:pPr>
      <w:rPr>
        <w:rFonts w:hint="default"/>
      </w:rPr>
    </w:lvl>
  </w:abstractNum>
  <w:abstractNum w:abstractNumId="2">
    <w:nsid w:val="FFFFFF89"/>
    <w:multiLevelType w:val="singleLevel"/>
    <w:tmpl w:val="831A0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5235DA"/>
    <w:multiLevelType w:val="hybridMultilevel"/>
    <w:tmpl w:val="DF543C9A"/>
    <w:lvl w:ilvl="0" w:tplc="07B2BA40">
      <w:start w:val="1"/>
      <w:numFmt w:val="bullet"/>
      <w:pStyle w:val="2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49546641"/>
    <w:multiLevelType w:val="multilevel"/>
    <w:tmpl w:val="1C343B94"/>
    <w:lvl w:ilvl="0">
      <w:start w:val="1"/>
      <w:numFmt w:val="decimal"/>
      <w:pStyle w:val="1"/>
      <w:lvlText w:val="РАЗДЕЛ %1."/>
      <w:lvlJc w:val="left"/>
      <w:pPr>
        <w:ind w:left="994" w:hanging="284"/>
      </w:pPr>
      <w:rPr>
        <w:rFonts w:hint="default"/>
        <w:i w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905"/>
        </w:tabs>
        <w:ind w:left="999" w:hanging="431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14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8" w:hanging="431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1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69"/>
    <w:rsid w:val="000536B5"/>
    <w:rsid w:val="000925C0"/>
    <w:rsid w:val="000C7B32"/>
    <w:rsid w:val="000D52EC"/>
    <w:rsid w:val="000D7BF7"/>
    <w:rsid w:val="00150E49"/>
    <w:rsid w:val="001A0FC9"/>
    <w:rsid w:val="001A4FCC"/>
    <w:rsid w:val="001C28A7"/>
    <w:rsid w:val="001C60A9"/>
    <w:rsid w:val="001D7A5F"/>
    <w:rsid w:val="001E1F1B"/>
    <w:rsid w:val="001F0804"/>
    <w:rsid w:val="00221685"/>
    <w:rsid w:val="00283F3F"/>
    <w:rsid w:val="002C7A68"/>
    <w:rsid w:val="002E3285"/>
    <w:rsid w:val="002E5A56"/>
    <w:rsid w:val="00300674"/>
    <w:rsid w:val="00326758"/>
    <w:rsid w:val="003454DB"/>
    <w:rsid w:val="0038787E"/>
    <w:rsid w:val="003D2CE0"/>
    <w:rsid w:val="003D32DB"/>
    <w:rsid w:val="0048390D"/>
    <w:rsid w:val="00491C31"/>
    <w:rsid w:val="005119CA"/>
    <w:rsid w:val="005318CF"/>
    <w:rsid w:val="00541EDE"/>
    <w:rsid w:val="00551368"/>
    <w:rsid w:val="00557253"/>
    <w:rsid w:val="00557278"/>
    <w:rsid w:val="0057573C"/>
    <w:rsid w:val="005873EA"/>
    <w:rsid w:val="005C73D7"/>
    <w:rsid w:val="005D6650"/>
    <w:rsid w:val="00655B69"/>
    <w:rsid w:val="00690E55"/>
    <w:rsid w:val="006914C0"/>
    <w:rsid w:val="006A696F"/>
    <w:rsid w:val="007211C5"/>
    <w:rsid w:val="0073680B"/>
    <w:rsid w:val="00755E7B"/>
    <w:rsid w:val="007A5590"/>
    <w:rsid w:val="007B3C22"/>
    <w:rsid w:val="007B5B45"/>
    <w:rsid w:val="007C3F00"/>
    <w:rsid w:val="008111E4"/>
    <w:rsid w:val="00841645"/>
    <w:rsid w:val="00883E4C"/>
    <w:rsid w:val="008A30BE"/>
    <w:rsid w:val="008F2E4C"/>
    <w:rsid w:val="00970350"/>
    <w:rsid w:val="009842F8"/>
    <w:rsid w:val="009C7690"/>
    <w:rsid w:val="00A11459"/>
    <w:rsid w:val="00A30BBC"/>
    <w:rsid w:val="00A55363"/>
    <w:rsid w:val="00A730C2"/>
    <w:rsid w:val="00A93B27"/>
    <w:rsid w:val="00AA39A7"/>
    <w:rsid w:val="00AC7717"/>
    <w:rsid w:val="00B01448"/>
    <w:rsid w:val="00B3483E"/>
    <w:rsid w:val="00B51600"/>
    <w:rsid w:val="00B51B66"/>
    <w:rsid w:val="00B54A5E"/>
    <w:rsid w:val="00B85BBE"/>
    <w:rsid w:val="00BB1DC3"/>
    <w:rsid w:val="00BC49F3"/>
    <w:rsid w:val="00BE0339"/>
    <w:rsid w:val="00C225A8"/>
    <w:rsid w:val="00C2334E"/>
    <w:rsid w:val="00C75A9C"/>
    <w:rsid w:val="00C83128"/>
    <w:rsid w:val="00C8399E"/>
    <w:rsid w:val="00CA1F16"/>
    <w:rsid w:val="00CF0682"/>
    <w:rsid w:val="00CF57ED"/>
    <w:rsid w:val="00D67EB6"/>
    <w:rsid w:val="00DC3423"/>
    <w:rsid w:val="00DF1CFC"/>
    <w:rsid w:val="00E320A6"/>
    <w:rsid w:val="00E45C69"/>
    <w:rsid w:val="00E500EE"/>
    <w:rsid w:val="00E56FBE"/>
    <w:rsid w:val="00E6436C"/>
    <w:rsid w:val="00E65D0E"/>
    <w:rsid w:val="00E65D85"/>
    <w:rsid w:val="00E755B2"/>
    <w:rsid w:val="00E81CB0"/>
    <w:rsid w:val="00E8367F"/>
    <w:rsid w:val="00EC634E"/>
    <w:rsid w:val="00F060BD"/>
    <w:rsid w:val="00F520ED"/>
    <w:rsid w:val="00FD3F38"/>
    <w:rsid w:val="00FE52EF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45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Заголовок 0"/>
    <w:basedOn w:val="a0"/>
    <w:next w:val="a0"/>
    <w:link w:val="10"/>
    <w:qFormat/>
    <w:rsid w:val="00A11459"/>
    <w:pPr>
      <w:keepNext/>
      <w:numPr>
        <w:numId w:val="13"/>
      </w:numPr>
      <w:tabs>
        <w:tab w:val="left" w:pos="2410"/>
      </w:tabs>
      <w:spacing w:after="240"/>
      <w:ind w:right="567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aliases w:val="Раздел 1"/>
    <w:basedOn w:val="a0"/>
    <w:next w:val="a1"/>
    <w:link w:val="21"/>
    <w:qFormat/>
    <w:rsid w:val="00A11459"/>
    <w:pPr>
      <w:keepNext/>
      <w:numPr>
        <w:ilvl w:val="1"/>
        <w:numId w:val="13"/>
      </w:numPr>
      <w:spacing w:before="120" w:after="120"/>
      <w:outlineLvl w:val="1"/>
    </w:pPr>
    <w:rPr>
      <w:rFonts w:ascii="Arial" w:eastAsia="Times New Roman" w:hAnsi="Arial" w:cs="Arial"/>
      <w:sz w:val="32"/>
    </w:rPr>
  </w:style>
  <w:style w:type="paragraph" w:styleId="3">
    <w:name w:val="heading 3"/>
    <w:next w:val="a2"/>
    <w:link w:val="30"/>
    <w:qFormat/>
    <w:rsid w:val="00A11459"/>
    <w:pPr>
      <w:keepNext/>
      <w:keepLines/>
      <w:numPr>
        <w:ilvl w:val="2"/>
        <w:numId w:val="13"/>
      </w:numPr>
      <w:suppressAutoHyphens/>
      <w:spacing w:before="240" w:after="120" w:line="240" w:lineRule="auto"/>
      <w:outlineLvl w:val="2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4">
    <w:name w:val="heading 4"/>
    <w:next w:val="a2"/>
    <w:link w:val="40"/>
    <w:qFormat/>
    <w:rsid w:val="00A11459"/>
    <w:pPr>
      <w:keepNext/>
      <w:numPr>
        <w:ilvl w:val="3"/>
        <w:numId w:val="13"/>
      </w:numPr>
      <w:spacing w:before="240" w:after="0" w:line="240" w:lineRule="auto"/>
      <w:outlineLvl w:val="3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0 Знак"/>
    <w:basedOn w:val="a3"/>
    <w:link w:val="1"/>
    <w:rsid w:val="00A114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Раздел 1 Знак"/>
    <w:basedOn w:val="a3"/>
    <w:link w:val="20"/>
    <w:rsid w:val="00A11459"/>
    <w:rPr>
      <w:rFonts w:ascii="Arial" w:eastAsia="Times New Roman" w:hAnsi="Arial" w:cs="Arial"/>
      <w:sz w:val="32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A11459"/>
    <w:rPr>
      <w:rFonts w:ascii="Arial" w:eastAsia="Times New Roman" w:hAnsi="Arial" w:cs="Times New Roman"/>
      <w:sz w:val="28"/>
      <w:szCs w:val="28"/>
      <w:lang w:eastAsia="ru-RU"/>
    </w:rPr>
  </w:style>
  <w:style w:type="paragraph" w:styleId="a2">
    <w:name w:val="Body Text"/>
    <w:basedOn w:val="a0"/>
    <w:link w:val="a6"/>
    <w:uiPriority w:val="99"/>
    <w:semiHidden/>
    <w:unhideWhenUsed/>
    <w:rsid w:val="00A11459"/>
    <w:pPr>
      <w:spacing w:after="120"/>
    </w:pPr>
  </w:style>
  <w:style w:type="character" w:customStyle="1" w:styleId="a6">
    <w:name w:val="Основной текст Знак"/>
    <w:basedOn w:val="a3"/>
    <w:link w:val="a2"/>
    <w:uiPriority w:val="99"/>
    <w:semiHidden/>
    <w:rsid w:val="00A11459"/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A11459"/>
    <w:rPr>
      <w:rFonts w:ascii="Arial" w:eastAsia="Times New Roman" w:hAnsi="Arial" w:cs="Times New Roman"/>
      <w:sz w:val="26"/>
      <w:szCs w:val="26"/>
      <w:lang w:eastAsia="ru-RU"/>
    </w:rPr>
  </w:style>
  <w:style w:type="paragraph" w:styleId="a7">
    <w:name w:val="List Bullet"/>
    <w:basedOn w:val="2"/>
    <w:qFormat/>
    <w:rsid w:val="00A11459"/>
    <w:pPr>
      <w:numPr>
        <w:numId w:val="0"/>
      </w:numPr>
      <w:tabs>
        <w:tab w:val="left" w:pos="1134"/>
      </w:tabs>
      <w:jc w:val="both"/>
    </w:pPr>
    <w:rPr>
      <w:rFonts w:eastAsia="Times New Roman" w:cs="Times New Roman"/>
      <w:sz w:val="28"/>
      <w:szCs w:val="28"/>
    </w:rPr>
  </w:style>
  <w:style w:type="paragraph" w:styleId="2">
    <w:name w:val="List Number 2"/>
    <w:basedOn w:val="a0"/>
    <w:uiPriority w:val="99"/>
    <w:semiHidden/>
    <w:unhideWhenUsed/>
    <w:rsid w:val="00A11459"/>
    <w:pPr>
      <w:numPr>
        <w:numId w:val="14"/>
      </w:numPr>
      <w:contextualSpacing/>
    </w:pPr>
  </w:style>
  <w:style w:type="paragraph" w:styleId="a">
    <w:name w:val="List Number"/>
    <w:basedOn w:val="a0"/>
    <w:qFormat/>
    <w:rsid w:val="00A11459"/>
    <w:pPr>
      <w:numPr>
        <w:numId w:val="15"/>
      </w:numPr>
      <w:tabs>
        <w:tab w:val="left" w:pos="1190"/>
      </w:tabs>
      <w:contextualSpacing/>
      <w:jc w:val="both"/>
    </w:pPr>
    <w:rPr>
      <w:rFonts w:eastAsia="Times New Roman" w:cs="Times New Roman"/>
      <w:sz w:val="28"/>
    </w:rPr>
  </w:style>
  <w:style w:type="paragraph" w:styleId="a8">
    <w:name w:val="Title"/>
    <w:basedOn w:val="a0"/>
    <w:next w:val="a0"/>
    <w:link w:val="a9"/>
    <w:uiPriority w:val="10"/>
    <w:qFormat/>
    <w:rsid w:val="00A114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3"/>
    <w:link w:val="a8"/>
    <w:uiPriority w:val="10"/>
    <w:rsid w:val="00A11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3"/>
    <w:uiPriority w:val="20"/>
    <w:qFormat/>
    <w:rsid w:val="00A11459"/>
    <w:rPr>
      <w:i/>
      <w:iCs/>
    </w:rPr>
  </w:style>
  <w:style w:type="paragraph" w:styleId="ab">
    <w:name w:val="TOC Heading"/>
    <w:basedOn w:val="1"/>
    <w:next w:val="a0"/>
    <w:uiPriority w:val="39"/>
    <w:semiHidden/>
    <w:unhideWhenUsed/>
    <w:qFormat/>
    <w:rsid w:val="00A11459"/>
    <w:pPr>
      <w:keepLines/>
      <w:numPr>
        <w:numId w:val="0"/>
      </w:numPr>
      <w:tabs>
        <w:tab w:val="clear" w:pos="2410"/>
      </w:tabs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a1">
    <w:name w:val="Абзац"/>
    <w:basedOn w:val="a0"/>
    <w:link w:val="ac"/>
    <w:qFormat/>
    <w:rsid w:val="00A11459"/>
    <w:pPr>
      <w:ind w:firstLine="709"/>
      <w:jc w:val="both"/>
    </w:pPr>
    <w:rPr>
      <w:rFonts w:eastAsia="Times New Roman" w:cs="Times New Roman"/>
      <w:sz w:val="28"/>
      <w:szCs w:val="28"/>
    </w:rPr>
  </w:style>
  <w:style w:type="character" w:customStyle="1" w:styleId="ac">
    <w:name w:val="Абзац Знак"/>
    <w:basedOn w:val="a3"/>
    <w:link w:val="a1"/>
    <w:rsid w:val="00A114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Заголовок без номера"/>
    <w:basedOn w:val="a8"/>
    <w:next w:val="a1"/>
    <w:qFormat/>
    <w:rsid w:val="00A11459"/>
    <w:pPr>
      <w:pBdr>
        <w:bottom w:val="none" w:sz="0" w:space="0" w:color="auto"/>
      </w:pBdr>
      <w:spacing w:after="240"/>
      <w:ind w:left="709"/>
      <w:contextualSpacing w:val="0"/>
      <w:outlineLvl w:val="0"/>
    </w:pPr>
    <w:rPr>
      <w:rFonts w:ascii="Arial" w:eastAsia="Times New Roman" w:hAnsi="Arial" w:cs="Times New Roman"/>
      <w:b/>
      <w:bCs/>
      <w:color w:val="auto"/>
      <w:spacing w:val="0"/>
      <w:sz w:val="32"/>
      <w:szCs w:val="32"/>
    </w:rPr>
  </w:style>
  <w:style w:type="paragraph" w:customStyle="1" w:styleId="ae">
    <w:name w:val="Подпись к рисунку"/>
    <w:basedOn w:val="a0"/>
    <w:qFormat/>
    <w:rsid w:val="00A11459"/>
    <w:pPr>
      <w:spacing w:after="120"/>
      <w:jc w:val="center"/>
    </w:pPr>
    <w:rPr>
      <w:rFonts w:eastAsia="Times New Roman" w:cs="Times New Roman"/>
      <w:i/>
      <w:sz w:val="28"/>
      <w:szCs w:val="28"/>
    </w:rPr>
  </w:style>
  <w:style w:type="paragraph" w:customStyle="1" w:styleId="af">
    <w:name w:val="Контейнер для рисунка"/>
    <w:basedOn w:val="a0"/>
    <w:qFormat/>
    <w:rsid w:val="00A11459"/>
    <w:pPr>
      <w:keepNext/>
      <w:spacing w:before="120"/>
      <w:jc w:val="center"/>
    </w:pPr>
    <w:rPr>
      <w:rFonts w:eastAsia="Times New Roman" w:cs="Times New Roman"/>
      <w:sz w:val="28"/>
      <w:szCs w:val="28"/>
    </w:rPr>
  </w:style>
  <w:style w:type="character" w:customStyle="1" w:styleId="af0">
    <w:name w:val="Название кнопок"/>
    <w:basedOn w:val="aa"/>
    <w:qFormat/>
    <w:rsid w:val="00A11459"/>
    <w:rPr>
      <w:rFonts w:ascii="Arial" w:hAnsi="Arial"/>
      <w:b w:val="0"/>
      <w:bCs/>
      <w:i w:val="0"/>
      <w:iCs w:val="0"/>
      <w:sz w:val="26"/>
    </w:rPr>
  </w:style>
  <w:style w:type="paragraph" w:styleId="af1">
    <w:name w:val="Balloon Text"/>
    <w:basedOn w:val="a0"/>
    <w:link w:val="af2"/>
    <w:uiPriority w:val="99"/>
    <w:semiHidden/>
    <w:unhideWhenUsed/>
    <w:rsid w:val="00DC34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DC3423"/>
    <w:rPr>
      <w:rFonts w:ascii="Tahoma" w:hAnsi="Tahoma" w:cs="Tahoma"/>
      <w:sz w:val="16"/>
      <w:szCs w:val="16"/>
      <w:lang w:eastAsia="ru-RU"/>
    </w:rPr>
  </w:style>
  <w:style w:type="character" w:styleId="af3">
    <w:name w:val="Hyperlink"/>
    <w:basedOn w:val="a3"/>
    <w:uiPriority w:val="99"/>
    <w:unhideWhenUsed/>
    <w:rsid w:val="007B5B45"/>
    <w:rPr>
      <w:color w:val="0000FF" w:themeColor="hyperlink"/>
      <w:u w:val="single"/>
    </w:rPr>
  </w:style>
  <w:style w:type="character" w:styleId="af4">
    <w:name w:val="FollowedHyperlink"/>
    <w:basedOn w:val="a3"/>
    <w:uiPriority w:val="99"/>
    <w:semiHidden/>
    <w:unhideWhenUsed/>
    <w:rsid w:val="00221685"/>
    <w:rPr>
      <w:color w:val="800080" w:themeColor="followedHyperlink"/>
      <w:u w:val="single"/>
    </w:rPr>
  </w:style>
  <w:style w:type="paragraph" w:styleId="af5">
    <w:name w:val="header"/>
    <w:basedOn w:val="a0"/>
    <w:link w:val="af6"/>
    <w:uiPriority w:val="99"/>
    <w:unhideWhenUsed/>
    <w:rsid w:val="002C7A6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uiPriority w:val="99"/>
    <w:rsid w:val="002C7A68"/>
    <w:rPr>
      <w:rFonts w:ascii="Times New Roman" w:hAnsi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unhideWhenUsed/>
    <w:rsid w:val="002C7A6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uiPriority w:val="99"/>
    <w:rsid w:val="002C7A68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45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Заголовок 0"/>
    <w:basedOn w:val="a0"/>
    <w:next w:val="a0"/>
    <w:link w:val="10"/>
    <w:qFormat/>
    <w:rsid w:val="00A11459"/>
    <w:pPr>
      <w:keepNext/>
      <w:numPr>
        <w:numId w:val="13"/>
      </w:numPr>
      <w:tabs>
        <w:tab w:val="left" w:pos="2410"/>
      </w:tabs>
      <w:spacing w:after="240"/>
      <w:ind w:right="567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aliases w:val="Раздел 1"/>
    <w:basedOn w:val="a0"/>
    <w:next w:val="a1"/>
    <w:link w:val="21"/>
    <w:qFormat/>
    <w:rsid w:val="00A11459"/>
    <w:pPr>
      <w:keepNext/>
      <w:numPr>
        <w:ilvl w:val="1"/>
        <w:numId w:val="13"/>
      </w:numPr>
      <w:spacing w:before="120" w:after="120"/>
      <w:outlineLvl w:val="1"/>
    </w:pPr>
    <w:rPr>
      <w:rFonts w:ascii="Arial" w:eastAsia="Times New Roman" w:hAnsi="Arial" w:cs="Arial"/>
      <w:sz w:val="32"/>
    </w:rPr>
  </w:style>
  <w:style w:type="paragraph" w:styleId="3">
    <w:name w:val="heading 3"/>
    <w:next w:val="a2"/>
    <w:link w:val="30"/>
    <w:qFormat/>
    <w:rsid w:val="00A11459"/>
    <w:pPr>
      <w:keepNext/>
      <w:keepLines/>
      <w:numPr>
        <w:ilvl w:val="2"/>
        <w:numId w:val="13"/>
      </w:numPr>
      <w:suppressAutoHyphens/>
      <w:spacing w:before="240" w:after="120" w:line="240" w:lineRule="auto"/>
      <w:outlineLvl w:val="2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4">
    <w:name w:val="heading 4"/>
    <w:next w:val="a2"/>
    <w:link w:val="40"/>
    <w:qFormat/>
    <w:rsid w:val="00A11459"/>
    <w:pPr>
      <w:keepNext/>
      <w:numPr>
        <w:ilvl w:val="3"/>
        <w:numId w:val="13"/>
      </w:numPr>
      <w:spacing w:before="240" w:after="0" w:line="240" w:lineRule="auto"/>
      <w:outlineLvl w:val="3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0 Знак"/>
    <w:basedOn w:val="a3"/>
    <w:link w:val="1"/>
    <w:rsid w:val="00A114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Раздел 1 Знак"/>
    <w:basedOn w:val="a3"/>
    <w:link w:val="20"/>
    <w:rsid w:val="00A11459"/>
    <w:rPr>
      <w:rFonts w:ascii="Arial" w:eastAsia="Times New Roman" w:hAnsi="Arial" w:cs="Arial"/>
      <w:sz w:val="32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A11459"/>
    <w:rPr>
      <w:rFonts w:ascii="Arial" w:eastAsia="Times New Roman" w:hAnsi="Arial" w:cs="Times New Roman"/>
      <w:sz w:val="28"/>
      <w:szCs w:val="28"/>
      <w:lang w:eastAsia="ru-RU"/>
    </w:rPr>
  </w:style>
  <w:style w:type="paragraph" w:styleId="a2">
    <w:name w:val="Body Text"/>
    <w:basedOn w:val="a0"/>
    <w:link w:val="a6"/>
    <w:uiPriority w:val="99"/>
    <w:semiHidden/>
    <w:unhideWhenUsed/>
    <w:rsid w:val="00A11459"/>
    <w:pPr>
      <w:spacing w:after="120"/>
    </w:pPr>
  </w:style>
  <w:style w:type="character" w:customStyle="1" w:styleId="a6">
    <w:name w:val="Основной текст Знак"/>
    <w:basedOn w:val="a3"/>
    <w:link w:val="a2"/>
    <w:uiPriority w:val="99"/>
    <w:semiHidden/>
    <w:rsid w:val="00A11459"/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A11459"/>
    <w:rPr>
      <w:rFonts w:ascii="Arial" w:eastAsia="Times New Roman" w:hAnsi="Arial" w:cs="Times New Roman"/>
      <w:sz w:val="26"/>
      <w:szCs w:val="26"/>
      <w:lang w:eastAsia="ru-RU"/>
    </w:rPr>
  </w:style>
  <w:style w:type="paragraph" w:styleId="a7">
    <w:name w:val="List Bullet"/>
    <w:basedOn w:val="2"/>
    <w:qFormat/>
    <w:rsid w:val="00A11459"/>
    <w:pPr>
      <w:numPr>
        <w:numId w:val="0"/>
      </w:numPr>
      <w:tabs>
        <w:tab w:val="left" w:pos="1134"/>
      </w:tabs>
      <w:jc w:val="both"/>
    </w:pPr>
    <w:rPr>
      <w:rFonts w:eastAsia="Times New Roman" w:cs="Times New Roman"/>
      <w:sz w:val="28"/>
      <w:szCs w:val="28"/>
    </w:rPr>
  </w:style>
  <w:style w:type="paragraph" w:styleId="2">
    <w:name w:val="List Number 2"/>
    <w:basedOn w:val="a0"/>
    <w:uiPriority w:val="99"/>
    <w:semiHidden/>
    <w:unhideWhenUsed/>
    <w:rsid w:val="00A11459"/>
    <w:pPr>
      <w:numPr>
        <w:numId w:val="14"/>
      </w:numPr>
      <w:contextualSpacing/>
    </w:pPr>
  </w:style>
  <w:style w:type="paragraph" w:styleId="a">
    <w:name w:val="List Number"/>
    <w:basedOn w:val="a0"/>
    <w:qFormat/>
    <w:rsid w:val="00A11459"/>
    <w:pPr>
      <w:numPr>
        <w:numId w:val="15"/>
      </w:numPr>
      <w:tabs>
        <w:tab w:val="left" w:pos="1190"/>
      </w:tabs>
      <w:contextualSpacing/>
      <w:jc w:val="both"/>
    </w:pPr>
    <w:rPr>
      <w:rFonts w:eastAsia="Times New Roman" w:cs="Times New Roman"/>
      <w:sz w:val="28"/>
    </w:rPr>
  </w:style>
  <w:style w:type="paragraph" w:styleId="a8">
    <w:name w:val="Title"/>
    <w:basedOn w:val="a0"/>
    <w:next w:val="a0"/>
    <w:link w:val="a9"/>
    <w:uiPriority w:val="10"/>
    <w:qFormat/>
    <w:rsid w:val="00A114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3"/>
    <w:link w:val="a8"/>
    <w:uiPriority w:val="10"/>
    <w:rsid w:val="00A11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3"/>
    <w:uiPriority w:val="20"/>
    <w:qFormat/>
    <w:rsid w:val="00A11459"/>
    <w:rPr>
      <w:i/>
      <w:iCs/>
    </w:rPr>
  </w:style>
  <w:style w:type="paragraph" w:styleId="ab">
    <w:name w:val="TOC Heading"/>
    <w:basedOn w:val="1"/>
    <w:next w:val="a0"/>
    <w:uiPriority w:val="39"/>
    <w:semiHidden/>
    <w:unhideWhenUsed/>
    <w:qFormat/>
    <w:rsid w:val="00A11459"/>
    <w:pPr>
      <w:keepLines/>
      <w:numPr>
        <w:numId w:val="0"/>
      </w:numPr>
      <w:tabs>
        <w:tab w:val="clear" w:pos="2410"/>
      </w:tabs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a1">
    <w:name w:val="Абзац"/>
    <w:basedOn w:val="a0"/>
    <w:link w:val="ac"/>
    <w:qFormat/>
    <w:rsid w:val="00A11459"/>
    <w:pPr>
      <w:ind w:firstLine="709"/>
      <w:jc w:val="both"/>
    </w:pPr>
    <w:rPr>
      <w:rFonts w:eastAsia="Times New Roman" w:cs="Times New Roman"/>
      <w:sz w:val="28"/>
      <w:szCs w:val="28"/>
    </w:rPr>
  </w:style>
  <w:style w:type="character" w:customStyle="1" w:styleId="ac">
    <w:name w:val="Абзац Знак"/>
    <w:basedOn w:val="a3"/>
    <w:link w:val="a1"/>
    <w:rsid w:val="00A114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Заголовок без номера"/>
    <w:basedOn w:val="a8"/>
    <w:next w:val="a1"/>
    <w:qFormat/>
    <w:rsid w:val="00A11459"/>
    <w:pPr>
      <w:pBdr>
        <w:bottom w:val="none" w:sz="0" w:space="0" w:color="auto"/>
      </w:pBdr>
      <w:spacing w:after="240"/>
      <w:ind w:left="709"/>
      <w:contextualSpacing w:val="0"/>
      <w:outlineLvl w:val="0"/>
    </w:pPr>
    <w:rPr>
      <w:rFonts w:ascii="Arial" w:eastAsia="Times New Roman" w:hAnsi="Arial" w:cs="Times New Roman"/>
      <w:b/>
      <w:bCs/>
      <w:color w:val="auto"/>
      <w:spacing w:val="0"/>
      <w:sz w:val="32"/>
      <w:szCs w:val="32"/>
    </w:rPr>
  </w:style>
  <w:style w:type="paragraph" w:customStyle="1" w:styleId="ae">
    <w:name w:val="Подпись к рисунку"/>
    <w:basedOn w:val="a0"/>
    <w:qFormat/>
    <w:rsid w:val="00A11459"/>
    <w:pPr>
      <w:spacing w:after="120"/>
      <w:jc w:val="center"/>
    </w:pPr>
    <w:rPr>
      <w:rFonts w:eastAsia="Times New Roman" w:cs="Times New Roman"/>
      <w:i/>
      <w:sz w:val="28"/>
      <w:szCs w:val="28"/>
    </w:rPr>
  </w:style>
  <w:style w:type="paragraph" w:customStyle="1" w:styleId="af">
    <w:name w:val="Контейнер для рисунка"/>
    <w:basedOn w:val="a0"/>
    <w:qFormat/>
    <w:rsid w:val="00A11459"/>
    <w:pPr>
      <w:keepNext/>
      <w:spacing w:before="120"/>
      <w:jc w:val="center"/>
    </w:pPr>
    <w:rPr>
      <w:rFonts w:eastAsia="Times New Roman" w:cs="Times New Roman"/>
      <w:sz w:val="28"/>
      <w:szCs w:val="28"/>
    </w:rPr>
  </w:style>
  <w:style w:type="character" w:customStyle="1" w:styleId="af0">
    <w:name w:val="Название кнопок"/>
    <w:basedOn w:val="aa"/>
    <w:qFormat/>
    <w:rsid w:val="00A11459"/>
    <w:rPr>
      <w:rFonts w:ascii="Arial" w:hAnsi="Arial"/>
      <w:b w:val="0"/>
      <w:bCs/>
      <w:i w:val="0"/>
      <w:iCs w:val="0"/>
      <w:sz w:val="26"/>
    </w:rPr>
  </w:style>
  <w:style w:type="paragraph" w:styleId="af1">
    <w:name w:val="Balloon Text"/>
    <w:basedOn w:val="a0"/>
    <w:link w:val="af2"/>
    <w:uiPriority w:val="99"/>
    <w:semiHidden/>
    <w:unhideWhenUsed/>
    <w:rsid w:val="00DC34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DC3423"/>
    <w:rPr>
      <w:rFonts w:ascii="Tahoma" w:hAnsi="Tahoma" w:cs="Tahoma"/>
      <w:sz w:val="16"/>
      <w:szCs w:val="16"/>
      <w:lang w:eastAsia="ru-RU"/>
    </w:rPr>
  </w:style>
  <w:style w:type="character" w:styleId="af3">
    <w:name w:val="Hyperlink"/>
    <w:basedOn w:val="a3"/>
    <w:uiPriority w:val="99"/>
    <w:unhideWhenUsed/>
    <w:rsid w:val="007B5B45"/>
    <w:rPr>
      <w:color w:val="0000FF" w:themeColor="hyperlink"/>
      <w:u w:val="single"/>
    </w:rPr>
  </w:style>
  <w:style w:type="character" w:styleId="af4">
    <w:name w:val="FollowedHyperlink"/>
    <w:basedOn w:val="a3"/>
    <w:uiPriority w:val="99"/>
    <w:semiHidden/>
    <w:unhideWhenUsed/>
    <w:rsid w:val="00221685"/>
    <w:rPr>
      <w:color w:val="800080" w:themeColor="followedHyperlink"/>
      <w:u w:val="single"/>
    </w:rPr>
  </w:style>
  <w:style w:type="paragraph" w:styleId="af5">
    <w:name w:val="header"/>
    <w:basedOn w:val="a0"/>
    <w:link w:val="af6"/>
    <w:uiPriority w:val="99"/>
    <w:unhideWhenUsed/>
    <w:rsid w:val="002C7A6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uiPriority w:val="99"/>
    <w:rsid w:val="002C7A68"/>
    <w:rPr>
      <w:rFonts w:ascii="Times New Roman" w:hAnsi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unhideWhenUsed/>
    <w:rsid w:val="002C7A6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uiPriority w:val="99"/>
    <w:rsid w:val="002C7A68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lans2.ru/ru/balans2w/abou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lubezniy.ru/soft/vlsverkapf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</dc:creator>
  <cp:lastModifiedBy>Виноградов Владимир Иванович</cp:lastModifiedBy>
  <cp:revision>3</cp:revision>
  <dcterms:created xsi:type="dcterms:W3CDTF">2013-07-23T10:51:00Z</dcterms:created>
  <dcterms:modified xsi:type="dcterms:W3CDTF">2013-07-23T10:52:00Z</dcterms:modified>
</cp:coreProperties>
</file>